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eastAsia="宋体"/>
        </w:rPr>
      </w:pPr>
    </w:p>
    <w:p>
      <w:pPr>
        <w:spacing w:line="360" w:lineRule="exact"/>
        <w:jc w:val="center"/>
        <w:rPr>
          <w:rFonts w:hint="eastAsia" w:ascii="宋体" w:hAnsi="宋体" w:eastAsia="宋体"/>
          <w:b/>
          <w:bCs/>
          <w:sz w:val="36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28"/>
        </w:rPr>
        <w:t>泰国格乐大学</w:t>
      </w:r>
      <w:r>
        <w:rPr>
          <w:rFonts w:hint="eastAsia" w:ascii="宋体" w:hAnsi="宋体" w:eastAsia="宋体"/>
          <w:b/>
          <w:bCs/>
          <w:sz w:val="36"/>
          <w:szCs w:val="28"/>
          <w:lang w:val="en-US" w:eastAsia="zh-CN"/>
        </w:rPr>
        <w:t>留学生招生简章</w:t>
      </w:r>
    </w:p>
    <w:p>
      <w:pPr>
        <w:spacing w:line="360" w:lineRule="exact"/>
        <w:jc w:val="center"/>
        <w:rPr>
          <w:rFonts w:hint="default" w:ascii="宋体" w:hAnsi="宋体" w:eastAsia="宋体"/>
          <w:b/>
          <w:bCs/>
          <w:sz w:val="36"/>
          <w:szCs w:val="28"/>
          <w:lang w:val="en-US" w:eastAsia="zh-CN"/>
        </w:rPr>
      </w:pPr>
      <w:r>
        <w:rPr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  <w:lang w:val="en-US" w:eastAsia="zh-CN"/>
        </w:rPr>
        <w:t>中文授课、硕博连读</w:t>
      </w:r>
      <w:r>
        <w:rPr>
          <w:b/>
          <w:bCs/>
          <w:sz w:val="32"/>
          <w:szCs w:val="32"/>
        </w:rPr>
        <w:t>)</w:t>
      </w:r>
    </w:p>
    <w:p>
      <w:pPr>
        <w:spacing w:line="360" w:lineRule="exact"/>
        <w:jc w:val="center"/>
        <w:rPr>
          <w:rFonts w:ascii="宋体" w:hAnsi="宋体" w:eastAsia="宋体"/>
          <w:b/>
          <w:bCs/>
          <w:sz w:val="36"/>
          <w:szCs w:val="28"/>
        </w:rPr>
      </w:pPr>
    </w:p>
    <w:p>
      <w:pPr>
        <w:spacing w:line="360" w:lineRule="exact"/>
        <w:rPr>
          <w:rFonts w:ascii="宋体" w:hAnsi="宋体" w:eastAsia="宋体"/>
          <w:b/>
          <w:bCs/>
          <w:sz w:val="36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招收专业</w:t>
      </w:r>
    </w:p>
    <w:p>
      <w:pPr>
        <w:numPr>
          <w:ilvl w:val="0"/>
          <w:numId w:val="0"/>
        </w:numPr>
        <w:ind w:left="480" w:leftChars="20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lang w:val="en-US" w:eastAsia="zh-CN"/>
        </w:rPr>
        <w:t>硕士</w:t>
      </w:r>
      <w:r>
        <w:rPr>
          <w:rFonts w:hint="eastAsia"/>
          <w:b/>
        </w:rPr>
        <w:t>中文授课的培养方向：</w:t>
      </w:r>
      <w:r>
        <w:rPr>
          <w:b/>
        </w:rPr>
        <w:cr/>
      </w:r>
      <w:r>
        <w:rPr>
          <w:rFonts w:hint="eastAsia"/>
          <w:b/>
        </w:rPr>
        <w:t>1、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MBA工商管理硕士：创新管理、现代市场营销、金融投资、会计、航空商务管理、人力资源、体育休闲商业、物流管理、旅游与酒店管理、信息科技等方向    36学分</w:t>
      </w:r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MBA工商管理硕士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金融专业；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36学分</w:t>
      </w:r>
    </w:p>
    <w:p>
      <w:pPr>
        <w:ind w:firstLine="48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3、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M.Ed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教育学硕士：教育管理专业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42学分</w:t>
      </w:r>
    </w:p>
    <w:p>
      <w:pPr>
        <w:ind w:firstLine="96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教育管理领导力与终身学习专业：教育管理、领导力、终身学习等方向     36学分</w:t>
      </w:r>
    </w:p>
    <w:p>
      <w:pPr>
        <w:ind w:firstLine="96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教师教育课程与教学论专业：视觉艺术、音乐教育、表演艺术、体育教育等方向    42学分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480" w:leftChars="20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博士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中文授课的培养方向：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cr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DBA工商管理博士：市场、金融、战略管理、体育休闲商业等方向     54学分</w:t>
      </w:r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哲学博士：法律与管理专业     54学分</w:t>
      </w:r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Ph.D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哲学博士：教育管理专业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48学分</w:t>
      </w:r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教育学博士教育管理领导力与终身学习专业：教育管理、领导力、终身学习等方向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60学分</w:t>
      </w:r>
    </w:p>
    <w:p>
      <w:pPr>
        <w:pStyle w:val="13"/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eastAsia="华文宋体"/>
          <w:b/>
          <w:bCs/>
          <w:color w:val="000000" w:themeColor="text1"/>
          <w:sz w:val="28"/>
          <w:szCs w:val="32"/>
          <w:u w:color="FF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华文宋体"/>
          <w:b/>
          <w:bCs/>
          <w:color w:val="000000" w:themeColor="text1"/>
          <w:sz w:val="28"/>
          <w:szCs w:val="32"/>
          <w:u w:color="FF0000"/>
          <w:lang w:val="en-US" w:eastAsia="zh-CN"/>
          <w14:textFill>
            <w14:solidFill>
              <w14:schemeClr w14:val="tx1"/>
            </w14:solidFill>
          </w14:textFill>
        </w:rPr>
        <w:t>授课语言；全中文授课</w:t>
      </w:r>
    </w:p>
    <w:p>
      <w:pPr>
        <w:pStyle w:val="13"/>
        <w:numPr>
          <w:ilvl w:val="0"/>
          <w:numId w:val="0"/>
        </w:numPr>
        <w:spacing w:line="276" w:lineRule="auto"/>
        <w:ind w:leftChars="0"/>
        <w:rPr>
          <w:rFonts w:hint="eastAsia" w:eastAsia="华文宋体"/>
          <w:b/>
          <w:bCs/>
          <w:color w:val="000000" w:themeColor="text1"/>
          <w:sz w:val="28"/>
          <w:szCs w:val="32"/>
          <w:u w:color="FF000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eastAsia="华文宋体"/>
          <w:b/>
          <w:bCs/>
          <w:color w:val="000000" w:themeColor="text1"/>
          <w:sz w:val="28"/>
          <w:szCs w:val="32"/>
          <w:u w:color="FF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华文宋体"/>
          <w:b/>
          <w:bCs/>
          <w:color w:val="000000" w:themeColor="text1"/>
          <w:sz w:val="28"/>
          <w:szCs w:val="32"/>
          <w:u w:color="FF0000"/>
          <w:lang w:val="en-US" w:eastAsia="zh-CN"/>
          <w14:textFill>
            <w14:solidFill>
              <w14:schemeClr w14:val="tx1"/>
            </w14:solidFill>
          </w14:textFill>
        </w:rPr>
        <w:t>学制；硕士两年，博士三年</w:t>
      </w:r>
      <w:bookmarkStart w:id="0" w:name="_GoBack"/>
      <w:bookmarkEnd w:id="0"/>
    </w:p>
    <w:p>
      <w:pPr>
        <w:pStyle w:val="13"/>
        <w:numPr>
          <w:ilvl w:val="0"/>
          <w:numId w:val="0"/>
        </w:numPr>
        <w:spacing w:line="276" w:lineRule="auto"/>
        <w:ind w:leftChars="0"/>
        <w:rPr>
          <w:rFonts w:hint="eastAsia" w:eastAsia="华文宋体"/>
          <w:b/>
          <w:bCs/>
          <w:color w:val="auto"/>
          <w:sz w:val="28"/>
          <w:szCs w:val="32"/>
          <w:u w:color="FF0000"/>
          <w:lang w:val="en-US" w:eastAsia="zh-CN"/>
        </w:rPr>
      </w:pPr>
    </w:p>
    <w:p>
      <w:pPr>
        <w:pStyle w:val="13"/>
        <w:spacing w:line="276" w:lineRule="auto"/>
        <w:ind w:left="0" w:leftChars="0" w:firstLine="0" w:firstLineChars="0"/>
        <w:rPr>
          <w:rFonts w:hint="eastAsia" w:eastAsia="华文宋体"/>
          <w:b/>
          <w:bCs/>
          <w:color w:val="auto"/>
          <w:sz w:val="28"/>
          <w:szCs w:val="32"/>
          <w:u w:color="FF0000"/>
          <w:lang w:val="en-US" w:eastAsia="zh-CN"/>
        </w:rPr>
      </w:pPr>
      <w:r>
        <w:rPr>
          <w:rFonts w:hint="eastAsia" w:eastAsia="华文宋体"/>
          <w:b/>
          <w:bCs/>
          <w:color w:val="auto"/>
          <w:sz w:val="28"/>
          <w:szCs w:val="32"/>
          <w:u w:color="FF0000"/>
          <w:lang w:val="en-US" w:eastAsia="zh-CN"/>
        </w:rPr>
        <w:t>四、学费；硕士99800人名币    博士298000人名币</w:t>
      </w:r>
    </w:p>
    <w:p>
      <w:pPr>
        <w:pStyle w:val="13"/>
        <w:spacing w:line="276" w:lineRule="auto"/>
        <w:ind w:left="0" w:leftChars="0" w:firstLine="0" w:firstLineChars="0"/>
        <w:rPr>
          <w:rFonts w:eastAsia="华文宋体"/>
          <w:b/>
          <w:color w:val="auto"/>
          <w:sz w:val="28"/>
          <w:szCs w:val="32"/>
          <w:u w:color="FF0000"/>
          <w:lang w:val="zh-TW" w:eastAsia="zh-TW"/>
        </w:rPr>
      </w:pPr>
      <w:r>
        <w:rPr>
          <w:rFonts w:hint="eastAsia" w:eastAsia="华文宋体"/>
          <w:b/>
          <w:color w:val="auto"/>
          <w:sz w:val="28"/>
          <w:szCs w:val="32"/>
          <w:u w:color="FF0000"/>
          <w:lang w:val="en-US" w:eastAsia="zh-CN"/>
        </w:rPr>
        <w:t>五、</w:t>
      </w:r>
      <w:r>
        <w:rPr>
          <w:rFonts w:hint="eastAsia" w:eastAsia="华文宋体"/>
          <w:b/>
          <w:color w:val="auto"/>
          <w:sz w:val="28"/>
          <w:szCs w:val="32"/>
          <w:u w:color="FF0000"/>
          <w:lang w:val="zh-TW" w:eastAsia="zh-TW"/>
        </w:rPr>
        <w:t>自理费用</w:t>
      </w:r>
      <w:r>
        <w:rPr>
          <w:rFonts w:eastAsia="华文宋体"/>
          <w:b/>
          <w:color w:val="auto"/>
          <w:sz w:val="28"/>
          <w:szCs w:val="32"/>
          <w:u w:color="FF0000"/>
          <w:lang w:val="zh-TW" w:eastAsia="zh-TW"/>
        </w:rPr>
        <w:t xml:space="preserve">  </w:t>
      </w:r>
    </w:p>
    <w:p>
      <w:pPr>
        <w:pStyle w:val="13"/>
        <w:spacing w:line="276" w:lineRule="auto"/>
        <w:jc w:val="both"/>
        <w:rPr>
          <w:rFonts w:eastAsia="华文宋体"/>
          <w:color w:val="auto"/>
          <w:szCs w:val="28"/>
          <w:u w:color="FF0000"/>
          <w:lang w:val="zh-TW"/>
        </w:rPr>
      </w:pPr>
      <w:r>
        <w:rPr>
          <w:rFonts w:hint="eastAsia" w:eastAsia="华文宋体"/>
          <w:color w:val="auto"/>
          <w:szCs w:val="28"/>
          <w:u w:color="FF0000"/>
          <w:lang w:val="zh-TW" w:eastAsia="zh-TW"/>
        </w:rPr>
        <w:t>入境泰国后全部签证费、境外保险费、学习期间生活费、住宿费、交通费、本班组织的相关考察活动可能涉及的额外费用自理。</w:t>
      </w:r>
    </w:p>
    <w:p>
      <w:pPr>
        <w:pStyle w:val="13"/>
        <w:spacing w:line="276" w:lineRule="auto"/>
        <w:jc w:val="both"/>
        <w:rPr>
          <w:rFonts w:eastAsia="华文宋体"/>
          <w:color w:val="auto"/>
          <w:szCs w:val="28"/>
          <w:u w:color="FF0000"/>
        </w:rPr>
      </w:pPr>
      <w:r>
        <w:rPr>
          <w:rFonts w:eastAsia="华文宋体"/>
          <w:color w:val="auto"/>
          <w:szCs w:val="28"/>
          <w:u w:color="FF0000"/>
        </w:rPr>
        <w:t>学生公寓：标准2人间，3000铢/人/月，约人民币600元/人/月。水电网等费用根据实际发生自理。</w:t>
      </w:r>
    </w:p>
    <w:p>
      <w:pPr>
        <w:spacing w:line="400" w:lineRule="exact"/>
        <w:rPr>
          <w:rFonts w:ascii="Calibri" w:hAnsi="Calibri" w:eastAsia="华文宋体" w:cs="Calibri"/>
          <w:sz w:val="28"/>
          <w:szCs w:val="28"/>
          <w:u w:color="FF0000"/>
          <w:lang w:val="zh-TW"/>
        </w:rPr>
      </w:pPr>
    </w:p>
    <w:p>
      <w:pPr>
        <w:spacing w:line="400" w:lineRule="exact"/>
        <w:rPr>
          <w:rFonts w:ascii="Calibri" w:hAnsi="Calibri" w:eastAsia="华文宋体" w:cs="Calibri"/>
          <w:b/>
          <w:bCs/>
          <w:sz w:val="28"/>
          <w:szCs w:val="28"/>
          <w:u w:color="FF0000"/>
          <w:lang w:val="zh-TW" w:eastAsia="zh-TW"/>
        </w:rPr>
      </w:pPr>
      <w:r>
        <w:rPr>
          <w:rFonts w:hint="eastAsia" w:ascii="Calibri" w:hAnsi="Calibri" w:eastAsia="华文宋体" w:cs="Calibri"/>
          <w:b/>
          <w:bCs/>
          <w:sz w:val="28"/>
          <w:szCs w:val="28"/>
          <w:u w:color="FF0000"/>
          <w:lang w:val="en-US" w:eastAsia="zh-CN"/>
        </w:rPr>
        <w:t>六、</w:t>
      </w:r>
      <w:r>
        <w:rPr>
          <w:rFonts w:hint="eastAsia" w:ascii="Calibri" w:hAnsi="Calibri" w:eastAsia="华文宋体" w:cs="Calibri"/>
          <w:b/>
          <w:bCs/>
          <w:sz w:val="28"/>
          <w:szCs w:val="28"/>
          <w:u w:color="FF0000"/>
          <w:lang w:val="zh-TW" w:eastAsia="zh-TW"/>
        </w:rPr>
        <w:t>联系我们</w:t>
      </w:r>
    </w:p>
    <w:p>
      <w:pPr>
        <w:spacing w:line="400" w:lineRule="exact"/>
        <w:rPr>
          <w:rFonts w:ascii="Calibri" w:hAnsi="Calibri" w:eastAsia="华文宋体" w:cs="Calibri"/>
          <w:sz w:val="28"/>
          <w:szCs w:val="28"/>
          <w:u w:color="FF0000"/>
          <w:lang w:val="zh-TW" w:eastAsia="zh-TW"/>
        </w:rPr>
      </w:pPr>
      <w:r>
        <w:rPr>
          <w:rFonts w:hint="eastAsia" w:ascii="Calibri" w:hAnsi="Calibri" w:eastAsia="华文宋体" w:cs="Calibri"/>
          <w:sz w:val="28"/>
          <w:szCs w:val="28"/>
          <w:u w:color="FF0000"/>
          <w:lang w:val="zh-TW" w:eastAsia="zh-TW"/>
        </w:rPr>
        <w:t>微信公众号：格乐留学（二维码）</w:t>
      </w:r>
    </w:p>
    <w:p>
      <w:pPr>
        <w:spacing w:line="400" w:lineRule="exact"/>
        <w:rPr>
          <w:rFonts w:ascii="Calibri" w:hAnsi="Calibri" w:eastAsia="华文宋体" w:cs="Calibri"/>
          <w:sz w:val="28"/>
          <w:szCs w:val="28"/>
          <w:u w:color="FF0000"/>
          <w:lang w:val="zh-TW" w:eastAsia="zh-TW"/>
        </w:rPr>
      </w:pPr>
      <w:r>
        <w:rPr>
          <w:rFonts w:hint="eastAsia" w:ascii="Calibri" w:hAnsi="Calibri" w:eastAsia="华文宋体" w:cs="Calibri"/>
          <w:sz w:val="28"/>
          <w:szCs w:val="28"/>
          <w:u w:color="FF0000"/>
          <w:lang w:val="zh-TW" w:eastAsia="zh-TW"/>
        </w:rPr>
        <w:t>官方网站：</w:t>
      </w:r>
      <w:r>
        <w:rPr>
          <w:rFonts w:ascii="Calibri" w:hAnsi="Calibri" w:eastAsia="华文宋体" w:cs="Calibri"/>
          <w:sz w:val="28"/>
          <w:szCs w:val="28"/>
          <w:u w:color="FF0000"/>
          <w:lang w:val="zh-TW" w:eastAsia="zh-TW"/>
        </w:rPr>
        <w:t xml:space="preserve">www.krirk.ac.th </w:t>
      </w:r>
      <w:r>
        <w:rPr>
          <w:rFonts w:hint="eastAsia" w:ascii="Calibri" w:hAnsi="Calibri" w:eastAsia="华文宋体" w:cs="Calibri"/>
          <w:sz w:val="28"/>
          <w:szCs w:val="28"/>
          <w:u w:color="FF0000"/>
          <w:lang w:val="zh-TW" w:eastAsia="zh-TW"/>
        </w:rPr>
        <w:t>（泰文）</w:t>
      </w:r>
      <w:r>
        <w:rPr>
          <w:rFonts w:ascii="Calibri" w:hAnsi="Calibri" w:eastAsia="华文宋体" w:cs="Calibri"/>
          <w:sz w:val="28"/>
          <w:szCs w:val="28"/>
          <w:u w:color="FF0000"/>
          <w:lang w:val="zh-TW" w:eastAsia="zh-TW"/>
        </w:rPr>
        <w:t xml:space="preserve">  www.krirkcn.com (</w:t>
      </w:r>
      <w:r>
        <w:rPr>
          <w:rFonts w:hint="eastAsia" w:ascii="Calibri" w:hAnsi="Calibri" w:eastAsia="华文宋体" w:cs="Calibri"/>
          <w:sz w:val="28"/>
          <w:szCs w:val="28"/>
          <w:u w:color="FF0000"/>
          <w:lang w:val="zh-TW" w:eastAsia="zh-TW"/>
        </w:rPr>
        <w:t>中文</w:t>
      </w:r>
      <w:r>
        <w:rPr>
          <w:rFonts w:ascii="Calibri" w:hAnsi="Calibri" w:eastAsia="华文宋体" w:cs="Calibri"/>
          <w:sz w:val="28"/>
          <w:szCs w:val="28"/>
          <w:u w:color="FF0000"/>
          <w:lang w:val="zh-TW" w:eastAsia="zh-TW"/>
        </w:rPr>
        <w:t>)</w:t>
      </w:r>
    </w:p>
    <w:p>
      <w:pPr>
        <w:spacing w:line="400" w:lineRule="exact"/>
        <w:rPr>
          <w:rFonts w:ascii="Calibri" w:hAnsi="Calibri" w:eastAsia="华文宋体" w:cs="Calibri"/>
          <w:sz w:val="28"/>
          <w:szCs w:val="28"/>
          <w:u w:color="FF0000"/>
          <w:lang w:val="zh-TW" w:eastAsia="zh-TW"/>
        </w:rPr>
      </w:pPr>
      <w:r>
        <w:rPr>
          <w:rFonts w:hint="eastAsia" w:ascii="Calibri" w:hAnsi="Calibri" w:eastAsia="华文宋体" w:cs="Calibri"/>
          <w:sz w:val="28"/>
          <w:szCs w:val="28"/>
          <w:u w:color="FF0000"/>
          <w:lang w:val="zh-TW" w:eastAsia="zh-TW"/>
        </w:rPr>
        <w:t>咨询电话：</w:t>
      </w:r>
      <w:r>
        <w:rPr>
          <w:rFonts w:ascii="Calibri" w:hAnsi="Calibri" w:eastAsia="华文宋体" w:cs="Calibri"/>
          <w:sz w:val="28"/>
          <w:szCs w:val="28"/>
          <w:u w:color="FF0000"/>
          <w:lang w:val="zh-TW" w:eastAsia="zh-TW"/>
        </w:rPr>
        <w:t>4009-939-969</w:t>
      </w:r>
    </w:p>
    <w:p>
      <w:pPr>
        <w:spacing w:line="400" w:lineRule="exact"/>
        <w:rPr>
          <w:rFonts w:hint="eastAsia" w:ascii="Calibri" w:hAnsi="Calibri" w:eastAsia="华文宋体" w:cs="Calibri"/>
          <w:sz w:val="28"/>
          <w:szCs w:val="28"/>
          <w:u w:color="FF0000"/>
          <w:lang w:val="zh-TW" w:eastAsia="zh-TW"/>
        </w:rPr>
      </w:pPr>
      <w:r>
        <w:rPr>
          <w:rFonts w:hint="eastAsia" w:ascii="Calibri" w:hAnsi="Calibri" w:eastAsia="华文宋体" w:cs="Calibri"/>
          <w:sz w:val="28"/>
          <w:szCs w:val="28"/>
          <w:u w:color="FF0000"/>
          <w:lang w:val="zh-TW" w:eastAsia="zh-TW"/>
        </w:rPr>
        <w:t>学校地址：Krirk University：No.3 Soi Ramintra 1 ,Ramintra Road, Anusaowaree, Bangkhen , Bangkok 10220 THAILAND.</w:t>
      </w:r>
    </w:p>
    <w:p>
      <w:pPr>
        <w:spacing w:line="400" w:lineRule="exact"/>
        <w:rPr>
          <w:rFonts w:hint="eastAsia" w:ascii="Calibri" w:hAnsi="Calibri" w:eastAsia="华文宋体" w:cs="Calibri"/>
          <w:sz w:val="28"/>
          <w:szCs w:val="28"/>
          <w:u w:color="FF0000"/>
          <w:lang w:val="zh-TW" w:eastAsia="zh-TW"/>
        </w:rPr>
      </w:pPr>
    </w:p>
    <w:p>
      <w:pPr>
        <w:spacing w:line="400" w:lineRule="exact"/>
        <w:rPr>
          <w:rFonts w:hint="eastAsia" w:ascii="Calibri" w:hAnsi="Calibri" w:eastAsia="华文宋体" w:cs="Calibri"/>
          <w:sz w:val="28"/>
          <w:szCs w:val="28"/>
          <w:u w:color="FF0000"/>
          <w:lang w:val="en-US" w:eastAsia="zh-CN"/>
        </w:rPr>
      </w:pPr>
      <w:r>
        <w:rPr>
          <w:rFonts w:hint="eastAsia" w:ascii="Calibri" w:hAnsi="Calibri" w:eastAsia="华文宋体" w:cs="Calibri"/>
          <w:sz w:val="28"/>
          <w:szCs w:val="28"/>
          <w:u w:color="FF0000"/>
          <w:lang w:val="en-US" w:eastAsia="zh-CN"/>
        </w:rPr>
        <w:t>详情请见附件；</w:t>
      </w:r>
    </w:p>
    <w:p>
      <w:pPr>
        <w:spacing w:line="400" w:lineRule="exact"/>
        <w:rPr>
          <w:rFonts w:hint="default" w:ascii="Calibri" w:hAnsi="Calibri" w:eastAsia="华文宋体" w:cs="Calibri"/>
          <w:sz w:val="28"/>
          <w:szCs w:val="28"/>
          <w:u w:color="FF0000"/>
          <w:lang w:val="en-US" w:eastAsia="zh-CN"/>
        </w:rPr>
      </w:pPr>
      <w:r>
        <w:rPr>
          <w:rFonts w:hint="eastAsia" w:ascii="Calibri" w:hAnsi="Calibri" w:eastAsia="华文宋体" w:cs="Calibri"/>
          <w:sz w:val="28"/>
          <w:szCs w:val="28"/>
          <w:u w:color="FF0000"/>
          <w:lang w:val="en-US" w:eastAsia="zh-CN"/>
        </w:rPr>
        <w:t xml:space="preserve">            附件【泰国格乐大学留学生招生简章】</w:t>
      </w:r>
    </w:p>
    <w:sectPr>
      <w:pgSz w:w="16840" w:h="11900" w:orient="landscape"/>
      <w:pgMar w:top="851" w:right="1440" w:bottom="851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Microsoft JhengHei Light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JhengHei Light">
    <w:panose1 w:val="020B0304030504040204"/>
    <w:charset w:val="86"/>
    <w:family w:val="auto"/>
    <w:pitch w:val="default"/>
    <w:sig w:usb0="00000000" w:usb1="00000000" w:usb2="00000016" w:usb3="00000000" w:csb0="203E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C271"/>
    <w:multiLevelType w:val="singleLevel"/>
    <w:tmpl w:val="2B92C2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cs="宋体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9">
    <w:name w:val="HTML 预设格式 Char"/>
    <w:basedOn w:val="5"/>
    <w:link w:val="4"/>
    <w:qFormat/>
    <w:uiPriority w:val="99"/>
    <w:rPr>
      <w:rFonts w:ascii="Courier New" w:hAnsi="Courier New" w:cs="Courier New"/>
      <w:kern w:val="0"/>
      <w:sz w:val="20"/>
      <w:szCs w:val="20"/>
    </w:rPr>
  </w:style>
  <w:style w:type="character" w:customStyle="1" w:styleId="10">
    <w:name w:val="apple-converted-space"/>
    <w:basedOn w:val="5"/>
    <w:qFormat/>
    <w:uiPriority w:val="0"/>
  </w:style>
  <w:style w:type="character" w:customStyle="1" w:styleId="1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3">
    <w:name w:val="正文 A"/>
    <w:qFormat/>
    <w:uiPriority w:val="0"/>
    <w:pPr>
      <w:widowControl w:val="0"/>
      <w:spacing w:line="400" w:lineRule="exact"/>
      <w:ind w:firstLine="200"/>
    </w:pPr>
    <w:rPr>
      <w:rFonts w:ascii="Calibri" w:hAnsi="Calibri" w:eastAsia="Calibri" w:cs="Calibri"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936</Words>
  <Characters>5336</Characters>
  <Lines>44</Lines>
  <Paragraphs>12</Paragraphs>
  <TotalTime>0</TotalTime>
  <ScaleCrop>false</ScaleCrop>
  <LinksUpToDate>false</LinksUpToDate>
  <CharactersWithSpaces>6260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2018-05-25T10:22:00Z</dcterms:created>
  <dc:creator>Qi Bin</dc:creator>
  <cp:lastModifiedBy>iPhone (4)</cp:lastModifiedBy>
  <cp:lastPrinted>2018-09-29T16:32:00Z</cp:lastPrinted>
  <dcterms:modified xsi:type="dcterms:W3CDTF">2019-05-09T15:08:21Z</dcterms:modified>
  <cp:revision>513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